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01398" w14:textId="4CE7E9A0" w:rsidR="00D82CB9" w:rsidRPr="00554CEE" w:rsidRDefault="00554CEE" w:rsidP="00904847">
      <w:pPr>
        <w:pStyle w:val="IntenseQuote"/>
        <w:tabs>
          <w:tab w:val="center" w:pos="4248"/>
          <w:tab w:val="left" w:pos="6486"/>
        </w:tabs>
        <w:ind w:left="862" w:right="862"/>
        <w:rPr>
          <w:rFonts w:ascii="Poppins" w:hAnsi="Poppins" w:cs="Poppins"/>
          <w:b/>
          <w:bCs/>
          <w:i w:val="0"/>
          <w:iCs w:val="0"/>
          <w:color w:val="000000" w:themeColor="text1"/>
          <w:sz w:val="20"/>
          <w:szCs w:val="20"/>
          <w:lang w:val="en-AU"/>
        </w:rPr>
      </w:pPr>
      <w:r w:rsidRPr="00554CEE">
        <w:rPr>
          <w:rFonts w:ascii="Poppins" w:hAnsi="Poppins" w:cs="Poppins"/>
          <w:b/>
          <w:bCs/>
          <w:i w:val="0"/>
          <w:iCs w:val="0"/>
          <w:color w:val="000000" w:themeColor="text1"/>
          <w:sz w:val="20"/>
          <w:szCs w:val="20"/>
          <w:lang w:val="en-AU"/>
        </w:rPr>
        <w:t>RISK ANALYSIS TEMPLATE</w:t>
      </w:r>
    </w:p>
    <w:p w14:paraId="10929939" w14:textId="7DC1D511" w:rsidR="00607FF0" w:rsidRPr="00554CEE" w:rsidRDefault="00607FF0" w:rsidP="009C49DE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554CEE">
        <w:rPr>
          <w:rFonts w:ascii="Poppins" w:hAnsi="Poppins" w:cs="Poppins"/>
          <w:b/>
          <w:bCs/>
          <w:sz w:val="20"/>
          <w:szCs w:val="20"/>
        </w:rPr>
        <w:t xml:space="preserve">Risk </w:t>
      </w:r>
      <w:r w:rsidR="00904847">
        <w:rPr>
          <w:rFonts w:ascii="Poppins" w:hAnsi="Poppins" w:cs="Poppins"/>
          <w:b/>
          <w:bCs/>
          <w:sz w:val="20"/>
          <w:szCs w:val="20"/>
        </w:rPr>
        <w:t>A</w:t>
      </w:r>
      <w:r w:rsidRPr="00554CEE">
        <w:rPr>
          <w:rFonts w:ascii="Poppins" w:hAnsi="Poppins" w:cs="Poppins"/>
          <w:b/>
          <w:bCs/>
          <w:sz w:val="20"/>
          <w:szCs w:val="20"/>
        </w:rPr>
        <w:t>nalysis</w:t>
      </w:r>
    </w:p>
    <w:tbl>
      <w:tblPr>
        <w:tblStyle w:val="TableGrid"/>
        <w:tblW w:w="5000" w:type="pct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3376"/>
        <w:gridCol w:w="1990"/>
        <w:gridCol w:w="1992"/>
        <w:gridCol w:w="1992"/>
      </w:tblGrid>
      <w:tr w:rsidR="00607FF0" w:rsidRPr="00554CEE" w14:paraId="7F5870CB" w14:textId="77777777" w:rsidTr="00904847">
        <w:tc>
          <w:tcPr>
            <w:tcW w:w="1806" w:type="pct"/>
            <w:shd w:val="clear" w:color="auto" w:fill="F6C847"/>
            <w:vAlign w:val="center"/>
          </w:tcPr>
          <w:p w14:paraId="3688ECFD" w14:textId="06E6A3C0" w:rsidR="00607FF0" w:rsidRPr="00554CEE" w:rsidRDefault="00607FF0" w:rsidP="00554CEE">
            <w:pPr>
              <w:ind w:right="-330"/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554CEE">
              <w:rPr>
                <w:rFonts w:ascii="Poppins" w:hAnsi="Poppins" w:cs="Poppins"/>
                <w:b/>
                <w:bCs/>
                <w:sz w:val="20"/>
                <w:szCs w:val="20"/>
              </w:rPr>
              <w:t>Risk</w:t>
            </w:r>
          </w:p>
        </w:tc>
        <w:tc>
          <w:tcPr>
            <w:tcW w:w="1064" w:type="pct"/>
            <w:shd w:val="clear" w:color="auto" w:fill="F6C847"/>
          </w:tcPr>
          <w:p w14:paraId="48CBCC2A" w14:textId="404F37F3" w:rsidR="00607FF0" w:rsidRPr="00554CEE" w:rsidRDefault="00607FF0" w:rsidP="00554CEE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554CEE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Potential </w:t>
            </w:r>
            <w:r w:rsidR="00554CEE">
              <w:rPr>
                <w:rFonts w:ascii="Poppins" w:hAnsi="Poppins" w:cs="Poppins"/>
                <w:b/>
                <w:bCs/>
                <w:sz w:val="20"/>
                <w:szCs w:val="20"/>
              </w:rPr>
              <w:t>I</w:t>
            </w:r>
            <w:r w:rsidRPr="00554CEE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mpact </w:t>
            </w:r>
            <w:r w:rsidRPr="00554CEE">
              <w:rPr>
                <w:rFonts w:ascii="Poppins" w:hAnsi="Poppins" w:cs="Poppins"/>
                <w:b/>
                <w:bCs/>
                <w:sz w:val="20"/>
                <w:szCs w:val="20"/>
              </w:rPr>
              <w:br/>
            </w:r>
            <w:r w:rsidRPr="00554CEE">
              <w:rPr>
                <w:rFonts w:ascii="Poppins" w:hAnsi="Poppins" w:cs="Poppins"/>
                <w:i/>
                <w:iCs/>
                <w:sz w:val="20"/>
                <w:szCs w:val="20"/>
              </w:rPr>
              <w:t>(slightly harmful, harmful, extremely harmful)</w:t>
            </w:r>
          </w:p>
        </w:tc>
        <w:tc>
          <w:tcPr>
            <w:tcW w:w="1065" w:type="pct"/>
            <w:shd w:val="clear" w:color="auto" w:fill="F6C847"/>
          </w:tcPr>
          <w:p w14:paraId="31E56984" w14:textId="58737329" w:rsidR="00607FF0" w:rsidRPr="00554CEE" w:rsidRDefault="00607FF0" w:rsidP="00554CEE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554CEE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Likelihood of </w:t>
            </w:r>
            <w:r w:rsidR="00554CEE">
              <w:rPr>
                <w:rFonts w:ascii="Poppins" w:hAnsi="Poppins" w:cs="Poppins"/>
                <w:b/>
                <w:bCs/>
                <w:sz w:val="20"/>
                <w:szCs w:val="20"/>
              </w:rPr>
              <w:t>O</w:t>
            </w:r>
            <w:r w:rsidRPr="00554CEE">
              <w:rPr>
                <w:rFonts w:ascii="Poppins" w:hAnsi="Poppins" w:cs="Poppins"/>
                <w:b/>
                <w:bCs/>
                <w:sz w:val="20"/>
                <w:szCs w:val="20"/>
              </w:rPr>
              <w:t>ccurrence</w:t>
            </w:r>
          </w:p>
          <w:p w14:paraId="4D644B23" w14:textId="4F7B2FFE" w:rsidR="00607FF0" w:rsidRPr="00554CEE" w:rsidRDefault="00607FF0" w:rsidP="00554CEE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554CEE">
              <w:rPr>
                <w:rFonts w:ascii="Poppins" w:hAnsi="Poppins" w:cs="Poppins"/>
                <w:i/>
                <w:iCs/>
                <w:sz w:val="20"/>
                <w:szCs w:val="20"/>
              </w:rPr>
              <w:t>(</w:t>
            </w:r>
            <w:r w:rsidR="003A16D8" w:rsidRPr="00554CEE">
              <w:rPr>
                <w:rFonts w:ascii="Poppins" w:hAnsi="Poppins" w:cs="Poppins"/>
                <w:i/>
                <w:iCs/>
                <w:sz w:val="20"/>
                <w:szCs w:val="20"/>
              </w:rPr>
              <w:t>l</w:t>
            </w:r>
            <w:r w:rsidRPr="00554CEE">
              <w:rPr>
                <w:rFonts w:ascii="Poppins" w:hAnsi="Poppins" w:cs="Poppins"/>
                <w:i/>
                <w:iCs/>
                <w:sz w:val="20"/>
                <w:szCs w:val="20"/>
              </w:rPr>
              <w:t xml:space="preserve">ikely, unlikely or </w:t>
            </w:r>
            <w:r w:rsidR="003A16D8" w:rsidRPr="00554CEE">
              <w:rPr>
                <w:rFonts w:ascii="Poppins" w:hAnsi="Poppins" w:cs="Poppins"/>
                <w:i/>
                <w:iCs/>
                <w:sz w:val="20"/>
                <w:szCs w:val="20"/>
              </w:rPr>
              <w:t>h</w:t>
            </w:r>
            <w:r w:rsidRPr="00554CEE">
              <w:rPr>
                <w:rFonts w:ascii="Poppins" w:hAnsi="Poppins" w:cs="Poppins"/>
                <w:i/>
                <w:iCs/>
                <w:sz w:val="20"/>
                <w:szCs w:val="20"/>
              </w:rPr>
              <w:t>ighly unlikely)</w:t>
            </w:r>
          </w:p>
        </w:tc>
        <w:tc>
          <w:tcPr>
            <w:tcW w:w="1065" w:type="pct"/>
            <w:shd w:val="clear" w:color="auto" w:fill="F6C847"/>
          </w:tcPr>
          <w:p w14:paraId="32028849" w14:textId="7CEB99D6" w:rsidR="00607FF0" w:rsidRPr="00554CEE" w:rsidRDefault="00607FF0" w:rsidP="00554CEE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554CEE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Risk </w:t>
            </w:r>
            <w:r w:rsidR="00554CEE">
              <w:rPr>
                <w:rFonts w:ascii="Poppins" w:hAnsi="Poppins" w:cs="Poppins"/>
                <w:b/>
                <w:bCs/>
                <w:sz w:val="20"/>
                <w:szCs w:val="20"/>
              </w:rPr>
              <w:t>S</w:t>
            </w:r>
            <w:r w:rsidRPr="00554CEE">
              <w:rPr>
                <w:rFonts w:ascii="Poppins" w:hAnsi="Poppins" w:cs="Poppins"/>
                <w:b/>
                <w:bCs/>
                <w:sz w:val="20"/>
                <w:szCs w:val="20"/>
              </w:rPr>
              <w:t>core</w:t>
            </w:r>
          </w:p>
          <w:p w14:paraId="3DF872C9" w14:textId="26333249" w:rsidR="00607FF0" w:rsidRPr="00554CEE" w:rsidRDefault="00607FF0" w:rsidP="00554CEE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554CEE">
              <w:rPr>
                <w:rFonts w:ascii="Poppins" w:hAnsi="Poppins" w:cs="Poppins"/>
                <w:i/>
                <w:iCs/>
                <w:sz w:val="20"/>
                <w:szCs w:val="20"/>
              </w:rPr>
              <w:t>(low, medium or high)</w:t>
            </w:r>
          </w:p>
        </w:tc>
      </w:tr>
      <w:tr w:rsidR="00607FF0" w:rsidRPr="00554CEE" w14:paraId="10E94FB1" w14:textId="77777777" w:rsidTr="00554CEE">
        <w:tc>
          <w:tcPr>
            <w:tcW w:w="1806" w:type="pct"/>
          </w:tcPr>
          <w:p w14:paraId="7EEC0B89" w14:textId="55D5075D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  <w:r w:rsidRPr="00554CEE">
              <w:rPr>
                <w:rFonts w:ascii="Poppins" w:hAnsi="Poppins" w:cs="Poppins"/>
                <w:sz w:val="20"/>
                <w:szCs w:val="20"/>
              </w:rPr>
              <w:br/>
            </w:r>
            <w:r w:rsidRPr="00554CEE">
              <w:rPr>
                <w:rFonts w:ascii="Poppins" w:hAnsi="Poppins" w:cs="Poppins"/>
                <w:sz w:val="20"/>
                <w:szCs w:val="20"/>
              </w:rPr>
              <w:br/>
            </w:r>
          </w:p>
        </w:tc>
        <w:tc>
          <w:tcPr>
            <w:tcW w:w="1064" w:type="pct"/>
          </w:tcPr>
          <w:p w14:paraId="1A56160F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1065" w:type="pct"/>
          </w:tcPr>
          <w:p w14:paraId="7398FDA9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1065" w:type="pct"/>
          </w:tcPr>
          <w:p w14:paraId="40838746" w14:textId="7AF4BF26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607FF0" w:rsidRPr="00554CEE" w14:paraId="16613076" w14:textId="77777777" w:rsidTr="00554CEE">
        <w:tc>
          <w:tcPr>
            <w:tcW w:w="1806" w:type="pct"/>
          </w:tcPr>
          <w:p w14:paraId="34DF7A96" w14:textId="68884EC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  <w:r w:rsidRPr="00554CEE">
              <w:rPr>
                <w:rFonts w:ascii="Poppins" w:hAnsi="Poppins" w:cs="Poppins"/>
                <w:sz w:val="20"/>
                <w:szCs w:val="20"/>
              </w:rPr>
              <w:br/>
            </w:r>
            <w:r w:rsidRPr="00554CEE">
              <w:rPr>
                <w:rFonts w:ascii="Poppins" w:hAnsi="Poppins" w:cs="Poppins"/>
                <w:sz w:val="20"/>
                <w:szCs w:val="20"/>
              </w:rPr>
              <w:br/>
            </w:r>
          </w:p>
        </w:tc>
        <w:tc>
          <w:tcPr>
            <w:tcW w:w="1064" w:type="pct"/>
          </w:tcPr>
          <w:p w14:paraId="7C6E9984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1065" w:type="pct"/>
          </w:tcPr>
          <w:p w14:paraId="3A0452AB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1065" w:type="pct"/>
          </w:tcPr>
          <w:p w14:paraId="52E42B62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607FF0" w:rsidRPr="00554CEE" w14:paraId="5F8D589B" w14:textId="77777777" w:rsidTr="00554CEE">
        <w:tc>
          <w:tcPr>
            <w:tcW w:w="1806" w:type="pct"/>
          </w:tcPr>
          <w:p w14:paraId="298CDAE3" w14:textId="504319E2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  <w:r w:rsidRPr="00554CEE">
              <w:rPr>
                <w:rFonts w:ascii="Poppins" w:hAnsi="Poppins" w:cs="Poppins"/>
                <w:sz w:val="20"/>
                <w:szCs w:val="20"/>
              </w:rPr>
              <w:br/>
            </w:r>
            <w:r w:rsidRPr="00554CEE">
              <w:rPr>
                <w:rFonts w:ascii="Poppins" w:hAnsi="Poppins" w:cs="Poppins"/>
                <w:sz w:val="20"/>
                <w:szCs w:val="20"/>
              </w:rPr>
              <w:br/>
            </w:r>
          </w:p>
        </w:tc>
        <w:tc>
          <w:tcPr>
            <w:tcW w:w="1064" w:type="pct"/>
          </w:tcPr>
          <w:p w14:paraId="1BB5FCE6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1065" w:type="pct"/>
          </w:tcPr>
          <w:p w14:paraId="2FB3D381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1065" w:type="pct"/>
          </w:tcPr>
          <w:p w14:paraId="20C5CE70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607FF0" w:rsidRPr="00554CEE" w14:paraId="0A7E1082" w14:textId="77777777" w:rsidTr="00554CEE">
        <w:tc>
          <w:tcPr>
            <w:tcW w:w="1806" w:type="pct"/>
          </w:tcPr>
          <w:p w14:paraId="706E57D7" w14:textId="3944DB0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  <w:r w:rsidRPr="00554CEE">
              <w:rPr>
                <w:rFonts w:ascii="Poppins" w:hAnsi="Poppins" w:cs="Poppins"/>
                <w:sz w:val="20"/>
                <w:szCs w:val="20"/>
              </w:rPr>
              <w:br/>
            </w:r>
            <w:r w:rsidRPr="00554CEE">
              <w:rPr>
                <w:rFonts w:ascii="Poppins" w:hAnsi="Poppins" w:cs="Poppins"/>
                <w:sz w:val="20"/>
                <w:szCs w:val="20"/>
              </w:rPr>
              <w:br/>
            </w:r>
          </w:p>
        </w:tc>
        <w:tc>
          <w:tcPr>
            <w:tcW w:w="1064" w:type="pct"/>
          </w:tcPr>
          <w:p w14:paraId="542CBBA2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1065" w:type="pct"/>
          </w:tcPr>
          <w:p w14:paraId="53270F3D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1065" w:type="pct"/>
          </w:tcPr>
          <w:p w14:paraId="1C808BC0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607FF0" w:rsidRPr="00554CEE" w14:paraId="291E0877" w14:textId="77777777" w:rsidTr="00554CEE">
        <w:tc>
          <w:tcPr>
            <w:tcW w:w="1806" w:type="pct"/>
          </w:tcPr>
          <w:p w14:paraId="214BF0D8" w14:textId="219372E9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  <w:r w:rsidRPr="00554CEE">
              <w:rPr>
                <w:rFonts w:ascii="Poppins" w:hAnsi="Poppins" w:cs="Poppins"/>
                <w:sz w:val="20"/>
                <w:szCs w:val="20"/>
              </w:rPr>
              <w:br/>
            </w:r>
            <w:r w:rsidRPr="00554CEE">
              <w:rPr>
                <w:rFonts w:ascii="Poppins" w:hAnsi="Poppins" w:cs="Poppins"/>
                <w:sz w:val="20"/>
                <w:szCs w:val="20"/>
              </w:rPr>
              <w:br/>
            </w:r>
          </w:p>
        </w:tc>
        <w:tc>
          <w:tcPr>
            <w:tcW w:w="1064" w:type="pct"/>
          </w:tcPr>
          <w:p w14:paraId="796348FC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1065" w:type="pct"/>
          </w:tcPr>
          <w:p w14:paraId="70F3E66D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1065" w:type="pct"/>
          </w:tcPr>
          <w:p w14:paraId="57DBDF9A" w14:textId="77777777" w:rsidR="00607FF0" w:rsidRPr="00554CEE" w:rsidRDefault="00607FF0" w:rsidP="00607FF0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</w:tbl>
    <w:p w14:paraId="29D6A090" w14:textId="257F28EA" w:rsidR="009F7504" w:rsidRPr="00554CEE" w:rsidRDefault="009F7504" w:rsidP="009F7504">
      <w:pPr>
        <w:ind w:right="-330"/>
        <w:rPr>
          <w:rFonts w:ascii="Poppins" w:hAnsi="Poppins" w:cs="Poppins"/>
          <w:sz w:val="20"/>
          <w:szCs w:val="20"/>
        </w:rPr>
      </w:pPr>
    </w:p>
    <w:p w14:paraId="7BA305D6" w14:textId="3823E0ED" w:rsidR="00231BFC" w:rsidRPr="00554CEE" w:rsidRDefault="00231BFC" w:rsidP="00231BFC">
      <w:pPr>
        <w:tabs>
          <w:tab w:val="left" w:pos="6303"/>
        </w:tabs>
        <w:rPr>
          <w:rFonts w:ascii="Poppins" w:hAnsi="Poppins" w:cs="Poppins"/>
          <w:b/>
          <w:sz w:val="20"/>
          <w:szCs w:val="20"/>
        </w:rPr>
      </w:pPr>
      <w:r w:rsidRPr="00554CEE">
        <w:rPr>
          <w:rFonts w:ascii="Poppins" w:hAnsi="Poppins" w:cs="Poppins"/>
          <w:b/>
          <w:sz w:val="20"/>
          <w:szCs w:val="20"/>
        </w:rPr>
        <w:tab/>
      </w:r>
    </w:p>
    <w:p w14:paraId="099C63FB" w14:textId="5E1FD9C2" w:rsidR="00F45F38" w:rsidRPr="00554CEE" w:rsidRDefault="00281CD4" w:rsidP="00554CEE">
      <w:pPr>
        <w:tabs>
          <w:tab w:val="left" w:pos="6303"/>
        </w:tabs>
        <w:rPr>
          <w:rFonts w:ascii="Poppins" w:hAnsi="Poppins" w:cs="Poppins"/>
          <w:b/>
          <w:sz w:val="20"/>
          <w:szCs w:val="20"/>
        </w:rPr>
      </w:pPr>
      <w:r w:rsidRPr="00554CEE">
        <w:rPr>
          <w:rFonts w:ascii="Poppins" w:hAnsi="Poppins" w:cs="Poppins"/>
          <w:sz w:val="20"/>
          <w:szCs w:val="20"/>
        </w:rPr>
        <w:br w:type="page"/>
      </w:r>
      <w:r w:rsidR="00F45F38" w:rsidRPr="00554CEE">
        <w:rPr>
          <w:rFonts w:ascii="Poppins" w:hAnsi="Poppins" w:cs="Poppins"/>
          <w:b/>
          <w:bCs/>
          <w:sz w:val="20"/>
          <w:szCs w:val="20"/>
        </w:rPr>
        <w:lastRenderedPageBreak/>
        <w:t>Usage Instructions</w:t>
      </w:r>
    </w:p>
    <w:p w14:paraId="27BF6E6F" w14:textId="71E833EC" w:rsidR="00607FF0" w:rsidRPr="00554CEE" w:rsidRDefault="00607FF0" w:rsidP="004A0922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bCs/>
          <w:sz w:val="20"/>
          <w:szCs w:val="20"/>
        </w:rPr>
      </w:pPr>
      <w:r w:rsidRPr="00554CEE">
        <w:rPr>
          <w:rFonts w:ascii="Poppins" w:hAnsi="Poppins" w:cs="Poppins"/>
          <w:b/>
          <w:bCs/>
          <w:sz w:val="20"/>
          <w:szCs w:val="20"/>
        </w:rPr>
        <w:t xml:space="preserve">Risk </w:t>
      </w:r>
      <w:r w:rsidR="00CF63E4">
        <w:rPr>
          <w:rFonts w:ascii="Poppins" w:hAnsi="Poppins" w:cs="Poppins"/>
          <w:b/>
          <w:bCs/>
          <w:sz w:val="20"/>
          <w:szCs w:val="20"/>
        </w:rPr>
        <w:t>A</w:t>
      </w:r>
      <w:r w:rsidRPr="00554CEE">
        <w:rPr>
          <w:rFonts w:ascii="Poppins" w:hAnsi="Poppins" w:cs="Poppins"/>
          <w:b/>
          <w:bCs/>
          <w:sz w:val="20"/>
          <w:szCs w:val="20"/>
        </w:rPr>
        <w:t xml:space="preserve">nalysis: </w:t>
      </w:r>
    </w:p>
    <w:p w14:paraId="39ABA9C3" w14:textId="52DD672F" w:rsidR="00F45F38" w:rsidRPr="00554CEE" w:rsidRDefault="00607FF0" w:rsidP="00607FF0">
      <w:pPr>
        <w:pStyle w:val="ListParagraph"/>
        <w:numPr>
          <w:ilvl w:val="1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554CEE">
        <w:rPr>
          <w:rFonts w:ascii="Poppins" w:hAnsi="Poppins" w:cs="Poppins"/>
          <w:sz w:val="20"/>
          <w:szCs w:val="20"/>
        </w:rPr>
        <w:t>In the first column of the table (titled “Risk”), list individual risks</w:t>
      </w:r>
      <w:r w:rsidR="002922E6" w:rsidRPr="00554CEE">
        <w:rPr>
          <w:rFonts w:ascii="Poppins" w:hAnsi="Poppins" w:cs="Poppins"/>
          <w:sz w:val="20"/>
          <w:szCs w:val="20"/>
        </w:rPr>
        <w:t>.</w:t>
      </w:r>
    </w:p>
    <w:p w14:paraId="48CB3347" w14:textId="403CB0C5" w:rsidR="00607FF0" w:rsidRPr="00554CEE" w:rsidRDefault="00607FF0" w:rsidP="00607FF0">
      <w:pPr>
        <w:pStyle w:val="ListParagraph"/>
        <w:numPr>
          <w:ilvl w:val="1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554CEE">
        <w:rPr>
          <w:rFonts w:ascii="Poppins" w:hAnsi="Poppins" w:cs="Poppins"/>
          <w:sz w:val="20"/>
          <w:szCs w:val="20"/>
        </w:rPr>
        <w:t>In the second column of the table (titled “Potential impact”), rate the potential consequences of each risk as being “Low”, “Medium” or “High”</w:t>
      </w:r>
      <w:r w:rsidR="002922E6" w:rsidRPr="00554CEE">
        <w:rPr>
          <w:rFonts w:ascii="Poppins" w:hAnsi="Poppins" w:cs="Poppins"/>
          <w:sz w:val="20"/>
          <w:szCs w:val="20"/>
        </w:rPr>
        <w:t>.</w:t>
      </w:r>
    </w:p>
    <w:p w14:paraId="51E321EA" w14:textId="73565A91" w:rsidR="00607FF0" w:rsidRPr="00554CEE" w:rsidRDefault="00607FF0" w:rsidP="00607FF0">
      <w:pPr>
        <w:pStyle w:val="ListParagraph"/>
        <w:numPr>
          <w:ilvl w:val="1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554CEE">
        <w:rPr>
          <w:rFonts w:ascii="Poppins" w:hAnsi="Poppins" w:cs="Poppins"/>
          <w:sz w:val="20"/>
          <w:szCs w:val="20"/>
        </w:rPr>
        <w:t>In the third column of the table (titled “Likelihood of occurrence”), rate the probability (chance) of each risk occurring as being “Likely”, “Unlikely” or “Highly unlikely”</w:t>
      </w:r>
      <w:r w:rsidR="002922E6" w:rsidRPr="00554CEE">
        <w:rPr>
          <w:rFonts w:ascii="Poppins" w:hAnsi="Poppins" w:cs="Poppins"/>
          <w:sz w:val="20"/>
          <w:szCs w:val="20"/>
        </w:rPr>
        <w:t>.</w:t>
      </w:r>
    </w:p>
    <w:p w14:paraId="5C191BC5" w14:textId="022B8E84" w:rsidR="00607FF0" w:rsidRPr="00554CEE" w:rsidRDefault="00607FF0" w:rsidP="00554CEE">
      <w:pPr>
        <w:pStyle w:val="ListParagraph"/>
        <w:numPr>
          <w:ilvl w:val="1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554CEE">
        <w:rPr>
          <w:rFonts w:ascii="Poppins" w:hAnsi="Poppins" w:cs="Poppins"/>
          <w:sz w:val="20"/>
          <w:szCs w:val="20"/>
        </w:rPr>
        <w:t>In the fourth column of the table (titled “Risk score”), use the risk matrix provided below to identify the appropriate score for each risk</w:t>
      </w:r>
      <w:r w:rsidR="002922E6" w:rsidRPr="00554CEE">
        <w:rPr>
          <w:rFonts w:ascii="Poppins" w:hAnsi="Poppins" w:cs="Poppins"/>
          <w:sz w:val="20"/>
          <w:szCs w:val="20"/>
        </w:rPr>
        <w:t>.</w:t>
      </w:r>
      <w:r w:rsidRPr="00554CEE">
        <w:rPr>
          <w:rFonts w:ascii="Poppins" w:hAnsi="Poppins" w:cs="Poppins"/>
          <w:sz w:val="20"/>
          <w:szCs w:val="20"/>
        </w:rPr>
        <w:br/>
      </w:r>
      <w:r w:rsidRPr="00554CEE">
        <w:rPr>
          <w:rFonts w:ascii="Poppins" w:hAnsi="Poppins" w:cs="Poppins"/>
          <w:sz w:val="20"/>
          <w:szCs w:val="20"/>
        </w:rPr>
        <w:br/>
      </w:r>
      <w:r w:rsidR="003A16D8" w:rsidRPr="00554CEE">
        <w:rPr>
          <w:rFonts w:ascii="Poppins" w:hAnsi="Poppins" w:cs="Poppins"/>
          <w:sz w:val="20"/>
          <w:szCs w:val="20"/>
        </w:rPr>
        <w:fldChar w:fldCharType="begin"/>
      </w:r>
      <w:r w:rsidR="003A16D8" w:rsidRPr="00554CEE">
        <w:rPr>
          <w:rFonts w:ascii="Poppins" w:hAnsi="Poppins" w:cs="Poppins"/>
          <w:sz w:val="20"/>
          <w:szCs w:val="20"/>
        </w:rPr>
        <w:instrText xml:space="preserve"> INCLUDEPICTURE "https://onsafelines.com/qhse.support/images/health-and-safety/risk-assessments/3x3-risk-matrix.png" \* MERGEFORMATINET </w:instrText>
      </w:r>
      <w:r w:rsidR="003A16D8" w:rsidRPr="00554CEE">
        <w:rPr>
          <w:rFonts w:ascii="Poppins" w:hAnsi="Poppins" w:cs="Poppins"/>
          <w:sz w:val="20"/>
          <w:szCs w:val="20"/>
        </w:rPr>
        <w:fldChar w:fldCharType="separate"/>
      </w:r>
      <w:r w:rsidR="003A16D8" w:rsidRPr="00554CEE">
        <w:rPr>
          <w:noProof/>
        </w:rPr>
        <w:drawing>
          <wp:inline distT="0" distB="0" distL="0" distR="0" wp14:anchorId="1379AB60" wp14:editId="71BF26E5">
            <wp:extent cx="4710023" cy="2754786"/>
            <wp:effectExtent l="0" t="0" r="1905" b="1270"/>
            <wp:docPr id="1061286055" name="Picture 2" descr="A chart of risk matrix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286055" name="Picture 2" descr="A chart of risk matrix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39"/>
                    <a:stretch/>
                  </pic:blipFill>
                  <pic:spPr bwMode="auto">
                    <a:xfrm>
                      <a:off x="0" y="0"/>
                      <a:ext cx="4730811" cy="276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A16D8" w:rsidRPr="00554CEE">
        <w:rPr>
          <w:rFonts w:ascii="Poppins" w:hAnsi="Poppins" w:cs="Poppins"/>
          <w:sz w:val="20"/>
          <w:szCs w:val="20"/>
        </w:rPr>
        <w:fldChar w:fldCharType="end"/>
      </w:r>
    </w:p>
    <w:sectPr w:rsidR="00607FF0" w:rsidRPr="00554CEE" w:rsidSect="009F7504">
      <w:headerReference w:type="default" r:id="rId8"/>
      <w:pgSz w:w="12240" w:h="15840" w:code="1"/>
      <w:pgMar w:top="1986" w:right="1440" w:bottom="26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091DE" w14:textId="77777777" w:rsidR="006F0069" w:rsidRDefault="006F0069" w:rsidP="00F256C5">
      <w:pPr>
        <w:spacing w:after="0" w:line="240" w:lineRule="auto"/>
      </w:pPr>
      <w:r>
        <w:separator/>
      </w:r>
    </w:p>
  </w:endnote>
  <w:endnote w:type="continuationSeparator" w:id="0">
    <w:p w14:paraId="3E233B87" w14:textId="77777777" w:rsidR="006F0069" w:rsidRDefault="006F0069" w:rsidP="00F25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F4BCB" w14:textId="77777777" w:rsidR="006F0069" w:rsidRDefault="006F0069" w:rsidP="00F256C5">
      <w:pPr>
        <w:spacing w:after="0" w:line="240" w:lineRule="auto"/>
      </w:pPr>
      <w:r>
        <w:separator/>
      </w:r>
    </w:p>
  </w:footnote>
  <w:footnote w:type="continuationSeparator" w:id="0">
    <w:p w14:paraId="6621E5C2" w14:textId="77777777" w:rsidR="006F0069" w:rsidRDefault="006F0069" w:rsidP="00F256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E96E7" w14:textId="77777777" w:rsidR="00F256C5" w:rsidRDefault="006F0069">
    <w:pPr>
      <w:pStyle w:val="Header"/>
    </w:pPr>
    <w:r>
      <w:rPr>
        <w:noProof/>
      </w:rPr>
      <w:pict w14:anchorId="2841CC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" style="position:absolute;margin-left:-1in;margin-top:-36pt;width:612pt;height:793pt;z-index:-251658752;mso-wrap-edited:f;mso-width-percent:0;mso-height-percent:0;mso-position-horizontal-relative:text;mso-position-vertical-relative:text;mso-width-percent:0;mso-height-percent:0">
          <v:imagedata r:id="rId1" o:title="Trendie Letterhead-01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302E7"/>
    <w:multiLevelType w:val="hybridMultilevel"/>
    <w:tmpl w:val="32902BEE"/>
    <w:lvl w:ilvl="0" w:tplc="04090001">
      <w:start w:val="1"/>
      <w:numFmt w:val="bullet"/>
      <w:lvlText w:val=""/>
      <w:lvlJc w:val="left"/>
      <w:pPr>
        <w:ind w:left="17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9" w:hanging="360"/>
      </w:pPr>
      <w:rPr>
        <w:rFonts w:ascii="Wingdings" w:hAnsi="Wingdings" w:hint="default"/>
      </w:rPr>
    </w:lvl>
  </w:abstractNum>
  <w:abstractNum w:abstractNumId="1" w15:restartNumberingAfterBreak="0">
    <w:nsid w:val="1ED50771"/>
    <w:multiLevelType w:val="hybridMultilevel"/>
    <w:tmpl w:val="305C8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A55415"/>
    <w:multiLevelType w:val="hybridMultilevel"/>
    <w:tmpl w:val="09569B44"/>
    <w:lvl w:ilvl="0" w:tplc="047A0A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FC456"/>
      </w:rPr>
    </w:lvl>
    <w:lvl w:ilvl="1" w:tplc="C4FEF6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EFC45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BB336C"/>
    <w:multiLevelType w:val="hybridMultilevel"/>
    <w:tmpl w:val="B186F81E"/>
    <w:lvl w:ilvl="0" w:tplc="84960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F7C23A"/>
      </w:rPr>
    </w:lvl>
    <w:lvl w:ilvl="1" w:tplc="C4FEF6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EFC456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CB5544"/>
    <w:multiLevelType w:val="multilevel"/>
    <w:tmpl w:val="2924A328"/>
    <w:styleLink w:val="CurrentList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FC45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5A3CAF"/>
    <w:multiLevelType w:val="multilevel"/>
    <w:tmpl w:val="C5DC271E"/>
    <w:styleLink w:val="CurrentList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8462125">
    <w:abstractNumId w:val="1"/>
  </w:num>
  <w:num w:numId="2" w16cid:durableId="1362899227">
    <w:abstractNumId w:val="0"/>
  </w:num>
  <w:num w:numId="3" w16cid:durableId="1136409508">
    <w:abstractNumId w:val="2"/>
  </w:num>
  <w:num w:numId="4" w16cid:durableId="1078599327">
    <w:abstractNumId w:val="5"/>
  </w:num>
  <w:num w:numId="5" w16cid:durableId="1369141497">
    <w:abstractNumId w:val="4"/>
  </w:num>
  <w:num w:numId="6" w16cid:durableId="14424539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690"/>
    <w:rsid w:val="000C6AA7"/>
    <w:rsid w:val="001A70FF"/>
    <w:rsid w:val="00231BFC"/>
    <w:rsid w:val="00281CD4"/>
    <w:rsid w:val="00284491"/>
    <w:rsid w:val="002922E6"/>
    <w:rsid w:val="002B13E0"/>
    <w:rsid w:val="002D1BFB"/>
    <w:rsid w:val="002F5CAC"/>
    <w:rsid w:val="00320873"/>
    <w:rsid w:val="003528EE"/>
    <w:rsid w:val="00370421"/>
    <w:rsid w:val="003824EC"/>
    <w:rsid w:val="003A16D8"/>
    <w:rsid w:val="003E7DF5"/>
    <w:rsid w:val="003F536E"/>
    <w:rsid w:val="00453D59"/>
    <w:rsid w:val="004A0922"/>
    <w:rsid w:val="005071AE"/>
    <w:rsid w:val="00515C66"/>
    <w:rsid w:val="005362A3"/>
    <w:rsid w:val="00554CEE"/>
    <w:rsid w:val="00581FDE"/>
    <w:rsid w:val="005C69E5"/>
    <w:rsid w:val="00607FF0"/>
    <w:rsid w:val="00671327"/>
    <w:rsid w:val="006F0069"/>
    <w:rsid w:val="006F40C6"/>
    <w:rsid w:val="007113E4"/>
    <w:rsid w:val="00747D4D"/>
    <w:rsid w:val="007E0E7D"/>
    <w:rsid w:val="007E5581"/>
    <w:rsid w:val="00822311"/>
    <w:rsid w:val="00830690"/>
    <w:rsid w:val="00904847"/>
    <w:rsid w:val="00912321"/>
    <w:rsid w:val="0096399D"/>
    <w:rsid w:val="009C49DE"/>
    <w:rsid w:val="009D2FE5"/>
    <w:rsid w:val="009E085A"/>
    <w:rsid w:val="009F7504"/>
    <w:rsid w:val="00A325C6"/>
    <w:rsid w:val="00AB147A"/>
    <w:rsid w:val="00AC462F"/>
    <w:rsid w:val="00AE7E9B"/>
    <w:rsid w:val="00AF6085"/>
    <w:rsid w:val="00B7043E"/>
    <w:rsid w:val="00C05DD4"/>
    <w:rsid w:val="00C41B29"/>
    <w:rsid w:val="00C87768"/>
    <w:rsid w:val="00CA6414"/>
    <w:rsid w:val="00CF63E4"/>
    <w:rsid w:val="00D127ED"/>
    <w:rsid w:val="00D70920"/>
    <w:rsid w:val="00D82CB9"/>
    <w:rsid w:val="00D84B5F"/>
    <w:rsid w:val="00DA1EE0"/>
    <w:rsid w:val="00DC485E"/>
    <w:rsid w:val="00DC67D9"/>
    <w:rsid w:val="00E00059"/>
    <w:rsid w:val="00E76310"/>
    <w:rsid w:val="00EF6D08"/>
    <w:rsid w:val="00F256C5"/>
    <w:rsid w:val="00F45F38"/>
    <w:rsid w:val="00FE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C5516"/>
  <w15:chartTrackingRefBased/>
  <w15:docId w15:val="{C0ED3FA3-5F10-4E95-BF78-6BBAB2DE0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5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56C5"/>
  </w:style>
  <w:style w:type="paragraph" w:styleId="Footer">
    <w:name w:val="footer"/>
    <w:basedOn w:val="Normal"/>
    <w:link w:val="FooterChar"/>
    <w:uiPriority w:val="99"/>
    <w:unhideWhenUsed/>
    <w:rsid w:val="00F25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6C5"/>
  </w:style>
  <w:style w:type="table" w:styleId="TableGrid">
    <w:name w:val="Table Grid"/>
    <w:basedOn w:val="TableNormal"/>
    <w:uiPriority w:val="39"/>
    <w:rsid w:val="009F7504"/>
    <w:pPr>
      <w:spacing w:after="0" w:line="240" w:lineRule="auto"/>
    </w:pPr>
    <w:rPr>
      <w:kern w:val="2"/>
      <w:sz w:val="24"/>
      <w:szCs w:val="24"/>
      <w:lang w:val="en-A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7504"/>
    <w:pPr>
      <w:ind w:left="720"/>
      <w:contextualSpacing/>
    </w:pPr>
  </w:style>
  <w:style w:type="numbering" w:customStyle="1" w:styleId="CurrentList1">
    <w:name w:val="Current List1"/>
    <w:uiPriority w:val="99"/>
    <w:rsid w:val="009F7504"/>
    <w:pPr>
      <w:numPr>
        <w:numId w:val="4"/>
      </w:numPr>
    </w:pPr>
  </w:style>
  <w:style w:type="numbering" w:customStyle="1" w:styleId="CurrentList2">
    <w:name w:val="Current List2"/>
    <w:uiPriority w:val="99"/>
    <w:rsid w:val="009D2FE5"/>
    <w:pPr>
      <w:numPr>
        <w:numId w:val="5"/>
      </w:numPr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4CEE"/>
    <w:pPr>
      <w:pBdr>
        <w:top w:val="single" w:sz="12" w:space="10" w:color="F6C847"/>
        <w:bottom w:val="single" w:sz="12" w:space="10" w:color="F6C847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4CEE"/>
    <w:rPr>
      <w:i/>
      <w:iCs/>
      <w:color w:val="5B9BD5" w:themeColor="accent1"/>
    </w:rPr>
  </w:style>
  <w:style w:type="paragraph" w:customStyle="1" w:styleId="Style1">
    <w:name w:val="Style1"/>
    <w:basedOn w:val="IntenseQuote"/>
    <w:qFormat/>
    <w:rsid w:val="00904847"/>
    <w:pPr>
      <w:tabs>
        <w:tab w:val="center" w:pos="4248"/>
        <w:tab w:val="left" w:pos="6486"/>
      </w:tabs>
      <w:ind w:left="862" w:right="862"/>
    </w:pPr>
    <w:rPr>
      <w:rFonts w:ascii="Poppins" w:hAnsi="Poppins" w:cs="Poppins"/>
      <w:b/>
      <w:bCs/>
      <w:i w:val="0"/>
      <w:iCs w:val="0"/>
      <w:color w:val="000000" w:themeColor="text1"/>
      <w:sz w:val="20"/>
      <w:szCs w:val="20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Tariq</dc:creator>
  <cp:keywords/>
  <dc:description/>
  <cp:lastModifiedBy>Sania Javed</cp:lastModifiedBy>
  <cp:revision>46</cp:revision>
  <dcterms:created xsi:type="dcterms:W3CDTF">2024-09-10T07:18:00Z</dcterms:created>
  <dcterms:modified xsi:type="dcterms:W3CDTF">2025-05-08T12:39:00Z</dcterms:modified>
</cp:coreProperties>
</file>